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2D048" w14:textId="1874FFA3" w:rsidR="00E23CE3" w:rsidRPr="003D0F18" w:rsidRDefault="00E23CE3" w:rsidP="003D0F18">
      <w:pPr>
        <w:pStyle w:val="Nagwek1"/>
        <w:jc w:val="both"/>
        <w:rPr>
          <w:rStyle w:val="Pogrubienie"/>
          <w:rFonts w:ascii="Lato" w:hAnsi="Lato"/>
          <w:sz w:val="28"/>
          <w:szCs w:val="28"/>
        </w:rPr>
      </w:pPr>
      <w:r w:rsidRPr="003D0F18">
        <w:rPr>
          <w:rStyle w:val="Pogrubienie"/>
          <w:rFonts w:ascii="Lato" w:hAnsi="Lato"/>
          <w:sz w:val="28"/>
          <w:szCs w:val="28"/>
        </w:rPr>
        <w:t xml:space="preserve">Przygotowanie do badań </w:t>
      </w:r>
      <w:r w:rsidRPr="003D0F18">
        <w:rPr>
          <w:rStyle w:val="Pogrubienie"/>
          <w:rFonts w:ascii="Lato" w:hAnsi="Lato"/>
          <w:sz w:val="28"/>
          <w:szCs w:val="28"/>
        </w:rPr>
        <w:t xml:space="preserve"> diagnostyki laboratoryjnej </w:t>
      </w:r>
      <w:r w:rsidRPr="003D0F18">
        <w:rPr>
          <w:rStyle w:val="Pogrubienie"/>
          <w:rFonts w:ascii="Lato" w:hAnsi="Lato"/>
          <w:sz w:val="28"/>
          <w:szCs w:val="28"/>
        </w:rPr>
        <w:t>– instrukcja dla Pacjenta</w:t>
      </w:r>
    </w:p>
    <w:p w14:paraId="496AF37D" w14:textId="417A2D14" w:rsidR="00E23CE3" w:rsidRDefault="00E23CE3" w:rsidP="00E23CE3">
      <w:pPr>
        <w:pStyle w:val="NormalnyWeb"/>
        <w:shd w:val="clear" w:color="auto" w:fill="FFFFFF"/>
        <w:jc w:val="both"/>
        <w:rPr>
          <w:rFonts w:ascii="Lato" w:hAnsi="Lato"/>
        </w:rPr>
      </w:pPr>
      <w:r w:rsidRPr="00E12655">
        <w:rPr>
          <w:rFonts w:ascii="Lato" w:hAnsi="Lato"/>
        </w:rPr>
        <w:t xml:space="preserve">Zapraszamy do zapoznania się ze wskazówkami dotyczącymi przygotowania </w:t>
      </w:r>
      <w:r w:rsidRPr="00E12655">
        <w:rPr>
          <w:rFonts w:ascii="Lato" w:hAnsi="Lato"/>
        </w:rPr>
        <w:t xml:space="preserve">się </w:t>
      </w:r>
      <w:r w:rsidRPr="00E12655">
        <w:rPr>
          <w:rFonts w:ascii="Lato" w:hAnsi="Lato"/>
        </w:rPr>
        <w:t>do badań diagnostyki laboratoryjnej w celu zapewnienia wiarygodności wyników.</w:t>
      </w:r>
      <w:r w:rsidR="00E12655" w:rsidRPr="00E12655">
        <w:rPr>
          <w:rFonts w:ascii="Lato" w:hAnsi="Lato"/>
        </w:rPr>
        <w:t xml:space="preserve"> </w:t>
      </w:r>
      <w:r w:rsidR="00E12655" w:rsidRPr="00E12655">
        <w:rPr>
          <w:rFonts w:ascii="Lato" w:hAnsi="Lato"/>
        </w:rPr>
        <w:t xml:space="preserve">Większość badań </w:t>
      </w:r>
      <w:r w:rsidR="00E12655">
        <w:rPr>
          <w:rFonts w:ascii="Lato" w:hAnsi="Lato"/>
        </w:rPr>
        <w:t xml:space="preserve">wymaga </w:t>
      </w:r>
      <w:r w:rsidR="00E12655" w:rsidRPr="00E12655">
        <w:rPr>
          <w:rFonts w:ascii="Lato" w:hAnsi="Lato"/>
        </w:rPr>
        <w:t xml:space="preserve">standardowego przygotowania, które oparte jest na przestrzeganiu </w:t>
      </w:r>
      <w:r w:rsidR="00E12655" w:rsidRPr="00E12655">
        <w:rPr>
          <w:rFonts w:ascii="Lato" w:hAnsi="Lato"/>
        </w:rPr>
        <w:t>poniższych</w:t>
      </w:r>
      <w:r w:rsidR="00E12655" w:rsidRPr="00E12655">
        <w:rPr>
          <w:rFonts w:ascii="Lato" w:hAnsi="Lato"/>
        </w:rPr>
        <w:t xml:space="preserve"> zasad</w:t>
      </w:r>
      <w:r w:rsidR="00E12655" w:rsidRPr="00E12655">
        <w:rPr>
          <w:rFonts w:ascii="Lato" w:hAnsi="Lato"/>
        </w:rPr>
        <w:t>.</w:t>
      </w:r>
    </w:p>
    <w:p w14:paraId="27F2657D" w14:textId="53CBC553" w:rsidR="0067658D" w:rsidRPr="009D179F" w:rsidRDefault="0067658D" w:rsidP="0067658D">
      <w:pPr>
        <w:shd w:val="clear" w:color="auto" w:fill="FFFFFF"/>
        <w:spacing w:after="150" w:line="240" w:lineRule="auto"/>
        <w:outlineLvl w:val="2"/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</w:pPr>
      <w:r w:rsidRPr="0067658D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>Badanie krwi</w:t>
      </w:r>
      <w:r w:rsidRPr="009D179F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 xml:space="preserve"> – badanie ogólne</w:t>
      </w:r>
    </w:p>
    <w:p w14:paraId="5E63CA62" w14:textId="321B58CA" w:rsidR="00E12655" w:rsidRPr="0067658D" w:rsidRDefault="00E12655" w:rsidP="00D26F09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obieranie materiału do badań laboratoryjnych powinno odbywać się w godzinach porannych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, 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między godz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. 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7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a 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10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;</w:t>
      </w:r>
    </w:p>
    <w:p w14:paraId="69750C71" w14:textId="77777777" w:rsidR="00E12655" w:rsidRPr="0067658D" w:rsidRDefault="00E12655" w:rsidP="00EB1FDC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</w:t>
      </w:r>
      <w:r w:rsidRPr="00E12655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acjent powinien być na czczo, ok. 12 godzin po ostatnim posiłku, tzn. nie powinien przyjmować żadnych pokarmów ani płynów oprócz wody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;</w:t>
      </w:r>
    </w:p>
    <w:p w14:paraId="4C6CDC7B" w14:textId="0B035FA7" w:rsidR="0067658D" w:rsidRPr="0067658D" w:rsidRDefault="00E12655" w:rsidP="00EB1FDC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</w:t>
      </w:r>
      <w:r w:rsidRPr="00E12655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acjent powinien być po nocnym wypoczynku, a pobranie krwi powinno być poprzedzone</w:t>
      </w:r>
      <w:r w:rsidR="0067658D"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</w:t>
      </w:r>
      <w:r w:rsidRPr="00E12655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ok. 15 minut wypoczynkiem w pozycji siedzącej</w:t>
      </w:r>
      <w:r w:rsidR="0067658D"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;</w:t>
      </w:r>
    </w:p>
    <w:p w14:paraId="774490F1" w14:textId="77777777" w:rsidR="0067658D" w:rsidRPr="0067658D" w:rsidRDefault="0067658D" w:rsidP="00E12655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n</w:t>
      </w:r>
      <w:r w:rsidR="00E12655" w:rsidRPr="00E12655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ależy ograniczyć na kilka dni przed badaniem nadmierną aktywność fizyczną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;</w:t>
      </w:r>
    </w:p>
    <w:p w14:paraId="6CA39FB9" w14:textId="77777777" w:rsidR="0067658D" w:rsidRPr="0067658D" w:rsidRDefault="0067658D" w:rsidP="00EB5A36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</w:t>
      </w:r>
      <w:r w:rsidR="00E12655"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acjent powinien zgłosić się na badania przed zażyciem leków i preparatów witaminowych o ile nie zaburza to procesu leczeni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a; z</w:t>
      </w:r>
      <w:r w:rsidR="00E12655"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ażywanie leków w dniu badania musi być ustalone z lekarzem i ściśle związane z celem danego badania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;</w:t>
      </w:r>
    </w:p>
    <w:p w14:paraId="488C18EF" w14:textId="77777777" w:rsidR="0067658D" w:rsidRPr="0067658D" w:rsidRDefault="0067658D" w:rsidP="005357F9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12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m</w:t>
      </w:r>
      <w:r w:rsidR="00E12655" w:rsidRPr="00E12655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ateriał do badania mikrobiologicznego, należy pobrać, o ile jest to możliwe, zawsze przed wdrożeniem leczenia przeciwbakteryjnego (wyjątkowo – jeżeli pacjent jest w trakcie antybiotykoterapii – przed kolejną dawką leku)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; </w:t>
      </w:r>
    </w:p>
    <w:p w14:paraId="75E3A72F" w14:textId="7BFF9EFC" w:rsidR="00E12655" w:rsidRDefault="0067658D" w:rsidP="005357F9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12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b</w:t>
      </w:r>
      <w:r w:rsidR="00E12655" w:rsidRPr="00E12655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adania kontrolne po antybiotykoterapii – materiał pobierać po 5-7 dniach od zakończenia terapii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.</w:t>
      </w:r>
    </w:p>
    <w:p w14:paraId="555E2B34" w14:textId="77777777" w:rsidR="003766E9" w:rsidRPr="00E12655" w:rsidRDefault="003766E9" w:rsidP="003766E9">
      <w:pPr>
        <w:pStyle w:val="Akapitzlist"/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</w:p>
    <w:p w14:paraId="40612746" w14:textId="77777777" w:rsidR="003766E9" w:rsidRPr="009D179F" w:rsidRDefault="003766E9" w:rsidP="003766E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color w:val="595959" w:themeColor="text1" w:themeTint="A6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b/>
          <w:bCs/>
          <w:color w:val="595959" w:themeColor="text1" w:themeTint="A6"/>
          <w:kern w:val="3"/>
          <w:sz w:val="24"/>
          <w:szCs w:val="24"/>
          <w:lang w:eastAsia="pl-PL"/>
          <w14:ligatures w14:val="none"/>
        </w:rPr>
        <w:t>PRZYGOTOWANIE PACJENTA DO DTTG</w:t>
      </w:r>
      <w:r w:rsidRPr="009D179F">
        <w:rPr>
          <w:rFonts w:ascii="Lato" w:eastAsia="Arial Unicode MS" w:hAnsi="Lato" w:cs="Tahoma"/>
          <w:color w:val="595959" w:themeColor="text1" w:themeTint="A6"/>
          <w:kern w:val="3"/>
          <w:sz w:val="24"/>
          <w:szCs w:val="24"/>
          <w:lang w:eastAsia="pl-PL"/>
          <w14:ligatures w14:val="none"/>
        </w:rPr>
        <w:t xml:space="preserve"> ( doustnego testu tolerancji glukozy).</w:t>
      </w:r>
    </w:p>
    <w:p w14:paraId="6A2C851D" w14:textId="77777777" w:rsidR="003766E9" w:rsidRPr="009D179F" w:rsidRDefault="003766E9" w:rsidP="003766E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kern w:val="3"/>
          <w:sz w:val="28"/>
          <w:szCs w:val="28"/>
          <w:lang w:eastAsia="pl-PL"/>
          <w14:ligatures w14:val="none"/>
        </w:rPr>
      </w:pPr>
    </w:p>
    <w:p w14:paraId="48FB9DD3" w14:textId="77777777" w:rsidR="003766E9" w:rsidRPr="009D179F" w:rsidRDefault="003766E9" w:rsidP="003766E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Wykonanie doustnego testu tolerancji glukozy (inaczej DTTG, krzywa </w:t>
      </w:r>
      <w:proofErr w:type="spellStart"/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glikemiczna</w:t>
      </w:r>
      <w:proofErr w:type="spellEnd"/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) wiąże się z koniecznością zastosowana przez pacjenta 3-dniowego normalnego trybu życia.</w:t>
      </w:r>
    </w:p>
    <w:p w14:paraId="77E27DE4" w14:textId="77777777" w:rsidR="003766E9" w:rsidRPr="009D179F" w:rsidRDefault="003766E9" w:rsidP="003766E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</w:p>
    <w:p w14:paraId="470496A7" w14:textId="77777777" w:rsidR="003766E9" w:rsidRPr="009D179F" w:rsidRDefault="003766E9" w:rsidP="003766E9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pacjent powinien pozostać na normalnej diecie bez ograniczeń oraz zachować dotychczasową aktywność fizyczną;</w:t>
      </w:r>
    </w:p>
    <w:p w14:paraId="16146434" w14:textId="77777777" w:rsidR="003766E9" w:rsidRPr="009D179F" w:rsidRDefault="003766E9" w:rsidP="003766E9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przed testem pacjent powinien być na czczo, ok. 12 godz</w:t>
      </w:r>
      <w:r w:rsidRPr="003766E9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.</w:t>
      </w: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(min</w:t>
      </w:r>
      <w:r w:rsidRPr="003766E9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.</w:t>
      </w: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8 godz</w:t>
      </w:r>
      <w:r w:rsidRPr="003766E9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.</w:t>
      </w: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);</w:t>
      </w:r>
    </w:p>
    <w:p w14:paraId="2754E912" w14:textId="77777777" w:rsidR="003766E9" w:rsidRPr="009D179F" w:rsidRDefault="003766E9" w:rsidP="003766E9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test należy rozpocząć w godzinach porannych;</w:t>
      </w:r>
    </w:p>
    <w:p w14:paraId="7F7E2AA2" w14:textId="77777777" w:rsidR="003766E9" w:rsidRPr="009D179F" w:rsidRDefault="003766E9" w:rsidP="003766E9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test rozpoczyna się pobraniem krwi w celu oznaczenia glikemii na czczo;</w:t>
      </w:r>
    </w:p>
    <w:p w14:paraId="2636738D" w14:textId="77777777" w:rsidR="003766E9" w:rsidRPr="009D179F" w:rsidRDefault="003766E9" w:rsidP="003766E9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następnie pacjent powinien wypić roztwór glukozy (75g glukozy w 250-300 ml wody) w ciągu maksymalnie 5 minut;</w:t>
      </w:r>
    </w:p>
    <w:p w14:paraId="11FBB4E1" w14:textId="77777777" w:rsidR="003766E9" w:rsidRPr="009D179F" w:rsidRDefault="003766E9" w:rsidP="003766E9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w czasie trwania testu pacjent powinien zachować normalną aktywność fizyczną - bez wykonywania pracy;</w:t>
      </w:r>
    </w:p>
    <w:p w14:paraId="0056C840" w14:textId="77777777" w:rsidR="003766E9" w:rsidRPr="009D179F" w:rsidRDefault="003766E9" w:rsidP="003766E9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po 2 godz. od podania roztworu glukozy pobrana jest krew w celu oznaczenia glikemii.</w:t>
      </w:r>
    </w:p>
    <w:p w14:paraId="1C4CEEAF" w14:textId="77777777" w:rsidR="003766E9" w:rsidRPr="00607BFE" w:rsidRDefault="003766E9" w:rsidP="003766E9">
      <w:pPr>
        <w:pStyle w:val="Bezodstpw"/>
        <w:jc w:val="both"/>
        <w:rPr>
          <w:rFonts w:ascii="Lato" w:hAnsi="Lato"/>
          <w:sz w:val="24"/>
          <w:szCs w:val="24"/>
          <w:lang w:eastAsia="pl-PL"/>
        </w:rPr>
      </w:pPr>
      <w:r w:rsidRPr="00607BFE">
        <w:rPr>
          <w:rFonts w:ascii="Lato" w:hAnsi="Lato"/>
          <w:sz w:val="24"/>
          <w:szCs w:val="24"/>
          <w:lang w:eastAsia="pl-PL"/>
        </w:rPr>
        <w:lastRenderedPageBreak/>
        <w:t>W  przypadku  DTTG ciężarnych krew pobiera się  na czczo, po 1 godzinie i po 2 godzinach od wypicia roztworu 75g glukozy.</w:t>
      </w:r>
    </w:p>
    <w:p w14:paraId="58E9C4EE" w14:textId="77777777" w:rsidR="0067658D" w:rsidRPr="009D179F" w:rsidRDefault="0067658D" w:rsidP="0067658D">
      <w:pPr>
        <w:shd w:val="clear" w:color="auto" w:fill="FFFFFF"/>
        <w:spacing w:after="150" w:line="240" w:lineRule="auto"/>
        <w:outlineLvl w:val="2"/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</w:pPr>
    </w:p>
    <w:p w14:paraId="394A5634" w14:textId="3DB65213" w:rsidR="0067658D" w:rsidRPr="0067658D" w:rsidRDefault="0067658D" w:rsidP="0067658D">
      <w:pPr>
        <w:shd w:val="clear" w:color="auto" w:fill="FFFFFF"/>
        <w:spacing w:after="150" w:line="240" w:lineRule="auto"/>
        <w:outlineLvl w:val="2"/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</w:pPr>
      <w:r w:rsidRPr="0067658D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>Badanie moczu</w:t>
      </w:r>
      <w:r w:rsidRPr="009D179F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 xml:space="preserve"> – badanie ogólne</w:t>
      </w:r>
    </w:p>
    <w:p w14:paraId="332F2AF8" w14:textId="170D00AA" w:rsidR="0067658D" w:rsidRPr="0067658D" w:rsidRDefault="0067658D" w:rsidP="00576AE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po nocnym odpoczynku</w:t>
      </w:r>
      <w:r w:rsidR="009D179F"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i 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porannej toalecie;</w:t>
      </w:r>
    </w:p>
    <w:p w14:paraId="3390329A" w14:textId="63D08916" w:rsidR="0067658D" w:rsidRPr="0067658D" w:rsidRDefault="009D179F" w:rsidP="0067658D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materiał do badania </w:t>
      </w:r>
      <w:r w:rsidR="0067658D"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powinien pochodzić z pierwszej porannej porcji moczu;</w:t>
      </w:r>
    </w:p>
    <w:p w14:paraId="3DF214DD" w14:textId="77777777" w:rsidR="0067658D" w:rsidRPr="0067658D" w:rsidRDefault="0067658D" w:rsidP="0067658D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powinien być oddany ze środkowego strumienia w ilości od 50-100 ml do jednorazowego pojemnika służącego do badania ogólnego moczu;</w:t>
      </w:r>
    </w:p>
    <w:p w14:paraId="0B1730BD" w14:textId="522807E7" w:rsidR="0067658D" w:rsidRPr="0067658D" w:rsidRDefault="0067658D" w:rsidP="0067658D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po odstawieniu leków i preparatów witaminowych mających wpływ na poziom mierzonego składnika</w:t>
      </w:r>
      <w:r w:rsidR="009D179F"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,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o ile nie zaburza to procesu leczenia;</w:t>
      </w:r>
    </w:p>
    <w:p w14:paraId="13B57CF5" w14:textId="77777777" w:rsidR="0067658D" w:rsidRPr="0067658D" w:rsidRDefault="0067658D" w:rsidP="0067658D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jeżeli istnieją trudności z pobraniem, minimalna ilość moczu, którą można poddać analizie wynosi 10 ml;</w:t>
      </w:r>
    </w:p>
    <w:p w14:paraId="3487829E" w14:textId="77777777" w:rsidR="0067658D" w:rsidRPr="0067658D" w:rsidRDefault="0067658D" w:rsidP="0067658D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podpisany pojemnik (imię i nazwisko) z moczem należy dostarczyć do laboratorium w czasie nie dłuższym od pobrania niż 1 godz. Jeżeli nie jest to możliwe można przechować próbkę moczu w temperaturze od 4-8ºC do 4 godz.;</w:t>
      </w:r>
    </w:p>
    <w:p w14:paraId="4DAAC967" w14:textId="77777777" w:rsidR="0067658D" w:rsidRPr="0067658D" w:rsidRDefault="0067658D" w:rsidP="0067658D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badania moczu nie należy wykonywać w czasie menstruacji oraz intensywnych treningów sportowych.</w:t>
      </w:r>
    </w:p>
    <w:p w14:paraId="2BFD64BD" w14:textId="77777777" w:rsidR="0067658D" w:rsidRPr="0067658D" w:rsidRDefault="0067658D" w:rsidP="0067658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</w:p>
    <w:p w14:paraId="330E64DA" w14:textId="77777777" w:rsidR="0067658D" w:rsidRPr="0067658D" w:rsidRDefault="0067658D" w:rsidP="0067658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ab/>
      </w:r>
      <w:r w:rsidRPr="0067658D">
        <w:rPr>
          <w:rFonts w:ascii="Lato" w:eastAsia="Arial Unicode MS" w:hAnsi="Lato" w:cs="Tahoma"/>
          <w:b/>
          <w:bCs/>
          <w:kern w:val="3"/>
          <w:sz w:val="24"/>
          <w:szCs w:val="24"/>
          <w:lang w:eastAsia="pl-PL"/>
          <w14:ligatures w14:val="none"/>
        </w:rPr>
        <w:t xml:space="preserve">Uwaga! </w:t>
      </w:r>
      <w:r w:rsidRPr="0067658D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Od dzieci i osób starszych z chorobami przewlekłymi układu moczowego jeżeli nie jest możliwe całonocne utrzymanie moczu, należy pobrać drugą poranną porcję moczu (czas zalegania moczu w pęcherzu musi wynosić 4 godz.).</w:t>
      </w:r>
    </w:p>
    <w:p w14:paraId="402A0025" w14:textId="77777777" w:rsidR="00063343" w:rsidRPr="009D179F" w:rsidRDefault="00063343">
      <w:pPr>
        <w:rPr>
          <w:rFonts w:ascii="Lato" w:hAnsi="Lato"/>
        </w:rPr>
      </w:pPr>
    </w:p>
    <w:p w14:paraId="34E587C3" w14:textId="066A1116" w:rsidR="009D179F" w:rsidRPr="009D179F" w:rsidRDefault="009D179F" w:rsidP="009D179F">
      <w:pPr>
        <w:shd w:val="clear" w:color="auto" w:fill="FFFFFF"/>
        <w:spacing w:after="150" w:line="240" w:lineRule="auto"/>
        <w:outlineLvl w:val="2"/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</w:pPr>
      <w:r w:rsidRPr="009D179F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>Badanie moczu</w:t>
      </w:r>
      <w:r w:rsidRPr="009D179F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 xml:space="preserve"> – badanie mikrobiologiczne</w:t>
      </w:r>
    </w:p>
    <w:p w14:paraId="4D39BCCC" w14:textId="77777777" w:rsidR="009D179F" w:rsidRPr="009D179F" w:rsidRDefault="009D179F" w:rsidP="009D179F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po dokładny umyciu okolicy ujścia cewki moczowej, poranną próbkę moczu pochodzącą ze środkowego strumienia należy pobrać </w:t>
      </w:r>
      <w:r w:rsidRPr="009D179F">
        <w:rPr>
          <w:rFonts w:ascii="Lato" w:eastAsia="Arial Unicode MS" w:hAnsi="Lato" w:cs="Tahoma"/>
          <w:kern w:val="3"/>
          <w:sz w:val="24"/>
          <w:szCs w:val="24"/>
          <w:u w:val="single"/>
          <w:lang w:eastAsia="pl-PL"/>
          <w14:ligatures w14:val="none"/>
        </w:rPr>
        <w:t xml:space="preserve">do sterylnego pojemnika </w:t>
      </w: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w ilości ok. 5 ml;</w:t>
      </w:r>
    </w:p>
    <w:p w14:paraId="3B0CAEBC" w14:textId="77777777" w:rsidR="009D179F" w:rsidRPr="009D179F" w:rsidRDefault="009D179F" w:rsidP="009D179F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podpisany pojemnik (imię i nazwisko) z moczem należy dostarczyć do laboratorium w czasie od pobrania nie dłuższym niż 1 godz. Jeżeli nie jest to możliwe można przechować próbkę moczu w temperaturze 4-8 ºC do 4 godz.</w:t>
      </w:r>
    </w:p>
    <w:p w14:paraId="614DBB8E" w14:textId="77777777" w:rsidR="0067658D" w:rsidRDefault="0067658D" w:rsidP="009D179F">
      <w:pPr>
        <w:rPr>
          <w:rFonts w:ascii="Lato" w:hAnsi="Lato"/>
        </w:rPr>
      </w:pPr>
    </w:p>
    <w:p w14:paraId="6F44B6D3" w14:textId="1FF10180" w:rsidR="009D179F" w:rsidRPr="009D179F" w:rsidRDefault="009D179F" w:rsidP="009D179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</w:pPr>
      <w:r w:rsidRPr="009D179F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 xml:space="preserve">Badanie moczu </w:t>
      </w:r>
      <w:r w:rsidRPr="009D179F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>– dobowa zbiórka (dzm):</w:t>
      </w:r>
    </w:p>
    <w:p w14:paraId="08AACD30" w14:textId="77777777" w:rsidR="009D179F" w:rsidRPr="009D179F" w:rsidRDefault="009D179F" w:rsidP="009D179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b/>
          <w:bCs/>
          <w:kern w:val="3"/>
          <w:sz w:val="24"/>
          <w:szCs w:val="24"/>
          <w:lang w:eastAsia="pl-PL"/>
          <w14:ligatures w14:val="none"/>
        </w:rPr>
      </w:pPr>
    </w:p>
    <w:p w14:paraId="3A26A03C" w14:textId="77777777" w:rsidR="009D179F" w:rsidRPr="009D179F" w:rsidRDefault="009D179F" w:rsidP="009D179F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w dniu, w którym rozpoczyna się zbieranie moczu należy odrzucić poranną porcję moczu (pacjent po nocy oddaje mocz do sedesu);</w:t>
      </w:r>
    </w:p>
    <w:p w14:paraId="76DDE0B4" w14:textId="77777777" w:rsidR="009D179F" w:rsidRPr="009D179F" w:rsidRDefault="009D179F" w:rsidP="009D179F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należy wykonać poranną toaletę, a następnie porcje moczu oddawać przez 24h do czystego pojemnika przeznaczonego do DZM (ostatnią porcją moczu jest poranna porcja z dnia następnego);</w:t>
      </w:r>
    </w:p>
    <w:p w14:paraId="39026176" w14:textId="77777777" w:rsidR="009D179F" w:rsidRPr="009D179F" w:rsidRDefault="009D179F" w:rsidP="009D179F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mocz należy przechowywać przez czas prowadzenia zbiórki w temperaturze 4-8ºC;</w:t>
      </w:r>
    </w:p>
    <w:p w14:paraId="2B61C050" w14:textId="77777777" w:rsidR="009D179F" w:rsidRPr="009D179F" w:rsidRDefault="009D179F" w:rsidP="009D179F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po zakończeniu zbiórki mocz należy </w:t>
      </w:r>
      <w:r w:rsidRPr="009D179F">
        <w:rPr>
          <w:rFonts w:ascii="Lato" w:eastAsia="Arial Unicode MS" w:hAnsi="Lato" w:cs="Tahoma"/>
          <w:kern w:val="3"/>
          <w:sz w:val="24"/>
          <w:szCs w:val="24"/>
          <w:u w:val="single"/>
          <w:lang w:eastAsia="pl-PL"/>
          <w14:ligatures w14:val="none"/>
        </w:rPr>
        <w:t>wymieszać i zmierzyć ilość ml moczu;</w:t>
      </w:r>
    </w:p>
    <w:p w14:paraId="601B8BBC" w14:textId="77777777" w:rsidR="009D179F" w:rsidRDefault="009D179F" w:rsidP="009D179F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9D179F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próbkę moczu w ilości 50-100 ml w podpisanym pojemniku (imię i nazwisko, ilość DZM) należy jak najszybciej dostarczyć do laboratorium.</w:t>
      </w:r>
    </w:p>
    <w:p w14:paraId="103D6AE2" w14:textId="35385F16" w:rsidR="00607BFE" w:rsidRPr="009D179F" w:rsidRDefault="00607BFE" w:rsidP="009D179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</w:pPr>
      <w:r w:rsidRPr="0067658D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lastRenderedPageBreak/>
        <w:t xml:space="preserve">Badanie </w:t>
      </w:r>
      <w:r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>kału</w:t>
      </w:r>
      <w:r w:rsidRPr="009D179F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 xml:space="preserve"> – badanie ogólne</w:t>
      </w:r>
      <w:r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 xml:space="preserve"> i Parazytologiczne</w:t>
      </w:r>
    </w:p>
    <w:p w14:paraId="347C8C0B" w14:textId="77777777" w:rsidR="00607BFE" w:rsidRPr="00607BFE" w:rsidRDefault="00607BFE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b/>
          <w:bCs/>
          <w:kern w:val="3"/>
          <w:sz w:val="24"/>
          <w:szCs w:val="24"/>
          <w:lang w:eastAsia="pl-PL"/>
          <w14:ligatures w14:val="none"/>
        </w:rPr>
      </w:pPr>
    </w:p>
    <w:p w14:paraId="291563B4" w14:textId="77777777" w:rsidR="00607BFE" w:rsidRPr="00607BFE" w:rsidRDefault="00607BFE" w:rsidP="00607BFE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kał należy oddać do czystego i suchego naczynia, a następnie pobrać ok 10 g (grudka wielkości orzecha włoskiego), z różnych miejsc próbki kałowej za pomocą plastikowej łopatki będącej w zestawie pojemnika przeznaczonego do badania kału;</w:t>
      </w:r>
    </w:p>
    <w:p w14:paraId="349EC4D6" w14:textId="77777777" w:rsidR="00607BFE" w:rsidRPr="00607BFE" w:rsidRDefault="00607BFE" w:rsidP="00607BFE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podpisany imieniem i nazwiskiem pojemnik z kałem dostarczyć do laboratorium (można przechować w temperaturze 4-8ºC do 24 godzin).</w:t>
      </w:r>
    </w:p>
    <w:p w14:paraId="1443F18A" w14:textId="77777777" w:rsidR="009D179F" w:rsidRPr="009D179F" w:rsidRDefault="009D179F" w:rsidP="009D179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</w:p>
    <w:p w14:paraId="6E806149" w14:textId="0FEE9FFA" w:rsidR="00607BFE" w:rsidRPr="00607BFE" w:rsidRDefault="00607BFE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b/>
          <w:bCs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 xml:space="preserve">Badanie </w:t>
      </w:r>
      <w:r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>kału</w:t>
      </w:r>
      <w:r w:rsidRPr="009D179F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>– krew utajona w kale</w:t>
      </w:r>
    </w:p>
    <w:p w14:paraId="4E212ACD" w14:textId="77777777" w:rsidR="00607BFE" w:rsidRPr="00607BFE" w:rsidRDefault="00607BFE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b/>
          <w:bCs/>
          <w:kern w:val="3"/>
          <w:sz w:val="24"/>
          <w:szCs w:val="24"/>
          <w:lang w:eastAsia="pl-PL"/>
          <w14:ligatures w14:val="none"/>
        </w:rPr>
      </w:pPr>
    </w:p>
    <w:p w14:paraId="6973C8EC" w14:textId="77777777" w:rsidR="00607BFE" w:rsidRPr="00607BFE" w:rsidRDefault="00607BFE" w:rsidP="00607BFE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niewielką ilość kału pobrać do jednorazowego pojemnika;</w:t>
      </w:r>
    </w:p>
    <w:p w14:paraId="19EFE665" w14:textId="30EA97A6" w:rsidR="00607BFE" w:rsidRPr="00607BFE" w:rsidRDefault="00607BFE" w:rsidP="00607BFE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dostarczyć do laboratorium w ciągu 4 godz</w:t>
      </w:r>
      <w:r w:rsidR="003766E9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.</w:t>
      </w: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(można przechować w temperaturze 4-8ºC do 72 godz</w:t>
      </w:r>
      <w:r w:rsidR="003766E9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.</w:t>
      </w: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);</w:t>
      </w:r>
    </w:p>
    <w:p w14:paraId="2366704F" w14:textId="6AAE5C03" w:rsidR="00607BFE" w:rsidRPr="00607BFE" w:rsidRDefault="00607BFE" w:rsidP="00607BFE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przed badaniem kału na krew utajoną należy odstawić na 48 god</w:t>
      </w:r>
      <w:r w:rsidR="003766E9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z.</w:t>
      </w: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alkohol i aspirynę;</w:t>
      </w:r>
    </w:p>
    <w:p w14:paraId="2BEF4258" w14:textId="0EB9B39A" w:rsidR="00607BFE" w:rsidRPr="00607BFE" w:rsidRDefault="00607BFE" w:rsidP="00607BFE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badania nie należy wykonywać przy krwawiących hemoroidach i obecnej krwi w moczu oraz w czasie trwania menstruacji.</w:t>
      </w:r>
    </w:p>
    <w:p w14:paraId="14D0F3ED" w14:textId="77777777" w:rsidR="00607BFE" w:rsidRPr="00607BFE" w:rsidRDefault="00607BFE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kern w:val="3"/>
          <w:sz w:val="24"/>
          <w:szCs w:val="24"/>
          <w:lang w:eastAsia="pl-PL"/>
          <w14:ligatures w14:val="none"/>
        </w:rPr>
      </w:pPr>
    </w:p>
    <w:p w14:paraId="0BB96DEA" w14:textId="65649710" w:rsidR="003766E9" w:rsidRDefault="003766E9" w:rsidP="003766E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b/>
          <w:bCs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 xml:space="preserve">Badanie </w:t>
      </w:r>
      <w:r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>kału</w:t>
      </w:r>
      <w:r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 xml:space="preserve"> - badanie mikrobiologiczne</w:t>
      </w:r>
      <w:r w:rsidR="00607BFE" w:rsidRPr="00607BFE">
        <w:rPr>
          <w:rFonts w:ascii="Times New Roman" w:eastAsia="Arial Unicode MS" w:hAnsi="Times New Roman" w:cs="Tahoma"/>
          <w:b/>
          <w:bCs/>
          <w:kern w:val="3"/>
          <w:sz w:val="24"/>
          <w:szCs w:val="24"/>
          <w:lang w:eastAsia="pl-PL"/>
          <w14:ligatures w14:val="none"/>
        </w:rPr>
        <w:t xml:space="preserve"> </w:t>
      </w:r>
    </w:p>
    <w:p w14:paraId="3CB89C3E" w14:textId="77777777" w:rsidR="003766E9" w:rsidRDefault="003766E9" w:rsidP="003766E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b/>
          <w:bCs/>
          <w:kern w:val="3"/>
          <w:sz w:val="24"/>
          <w:szCs w:val="24"/>
          <w:lang w:eastAsia="pl-PL"/>
          <w14:ligatures w14:val="none"/>
        </w:rPr>
      </w:pPr>
    </w:p>
    <w:p w14:paraId="25A69BA9" w14:textId="19375EF7" w:rsidR="00607BFE" w:rsidRPr="00607BFE" w:rsidRDefault="003766E9" w:rsidP="003766E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3766E9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P</w:t>
      </w:r>
      <w:r w:rsidR="00607BFE"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róbki kału do badań bakteriologicznych oraz na obecność </w:t>
      </w:r>
      <w:proofErr w:type="spellStart"/>
      <w:r w:rsidR="00607BFE"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Rotavirusów</w:t>
      </w:r>
      <w:proofErr w:type="spellEnd"/>
      <w:r w:rsidR="00607BFE"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, </w:t>
      </w:r>
      <w:proofErr w:type="spellStart"/>
      <w:r w:rsidR="00607BFE"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Adenovirusów</w:t>
      </w:r>
      <w:proofErr w:type="spellEnd"/>
      <w:r w:rsidR="00607BFE"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, </w:t>
      </w:r>
      <w:proofErr w:type="spellStart"/>
      <w:r w:rsidR="00607BFE"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Norowirusów</w:t>
      </w:r>
      <w:proofErr w:type="spellEnd"/>
      <w:r w:rsidR="00607BFE"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i toksynę Clostridium </w:t>
      </w:r>
      <w:proofErr w:type="spellStart"/>
      <w:r w:rsidR="00607BFE"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difficile</w:t>
      </w:r>
      <w:proofErr w:type="spellEnd"/>
      <w:r w:rsidR="00607BFE"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powinny być pobrane </w:t>
      </w:r>
      <w:r w:rsidR="00607BFE" w:rsidRPr="00607BFE">
        <w:rPr>
          <w:rFonts w:ascii="Lato" w:eastAsia="Arial Unicode MS" w:hAnsi="Lato" w:cs="Tahoma"/>
          <w:kern w:val="3"/>
          <w:sz w:val="24"/>
          <w:szCs w:val="24"/>
          <w:u w:val="single"/>
          <w:lang w:eastAsia="pl-PL"/>
          <w14:ligatures w14:val="none"/>
        </w:rPr>
        <w:t>do sterylnych pojemników</w:t>
      </w:r>
      <w:r w:rsidR="00607BFE"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, szczelnie zamkniętych. Zaleca się pobranie 1-2 ml lub 1-2 g kału (wielkość grochu);</w:t>
      </w:r>
    </w:p>
    <w:p w14:paraId="03AE5979" w14:textId="2E49EB7D" w:rsidR="00607BFE" w:rsidRPr="00607BFE" w:rsidRDefault="00607BFE" w:rsidP="00607BFE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w przypadku badania w kierunku </w:t>
      </w:r>
      <w:proofErr w:type="spellStart"/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Sallmonella</w:t>
      </w:r>
      <w:proofErr w:type="spellEnd"/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, </w:t>
      </w:r>
      <w:proofErr w:type="spellStart"/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Shigella</w:t>
      </w:r>
      <w:proofErr w:type="spellEnd"/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należy pobrać materiał 3- krotnie. Po pobraniu materiał dostarczyć jak najszybciej do laboratorium</w:t>
      </w:r>
      <w:r w:rsidR="003766E9" w:rsidRPr="003766E9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</w:t>
      </w: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(czas przechowywania w temperaturze pokojowej do 48 godz</w:t>
      </w:r>
      <w:r w:rsidR="003766E9" w:rsidRPr="003766E9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.</w:t>
      </w: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);</w:t>
      </w:r>
    </w:p>
    <w:p w14:paraId="52AB177A" w14:textId="3B78CDC6" w:rsidR="00607BFE" w:rsidRPr="00607BFE" w:rsidRDefault="00607BFE" w:rsidP="00607BFE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pobrany kał na </w:t>
      </w:r>
      <w:proofErr w:type="spellStart"/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Rotavirusy</w:t>
      </w:r>
      <w:proofErr w:type="spellEnd"/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, </w:t>
      </w:r>
      <w:proofErr w:type="spellStart"/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Adenovirusy</w:t>
      </w:r>
      <w:proofErr w:type="spellEnd"/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, </w:t>
      </w:r>
      <w:proofErr w:type="spellStart"/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Norowirusy</w:t>
      </w:r>
      <w:proofErr w:type="spellEnd"/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, toksynę C. </w:t>
      </w:r>
      <w:proofErr w:type="spellStart"/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difficile</w:t>
      </w:r>
      <w:proofErr w:type="spellEnd"/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można przechować w temperaturze 2</w:t>
      </w:r>
      <w:r w:rsidR="003766E9" w:rsidRPr="003766E9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</w:t>
      </w: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-</w:t>
      </w:r>
      <w:r w:rsidR="003766E9" w:rsidRPr="003766E9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</w:t>
      </w: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8ºC do 48 godz.</w:t>
      </w:r>
    </w:p>
    <w:p w14:paraId="08B076B8" w14:textId="77777777" w:rsidR="00607BFE" w:rsidRPr="00607BFE" w:rsidRDefault="00607BFE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kern w:val="3"/>
          <w:sz w:val="24"/>
          <w:szCs w:val="24"/>
          <w:lang w:eastAsia="pl-PL"/>
          <w14:ligatures w14:val="none"/>
        </w:rPr>
      </w:pPr>
    </w:p>
    <w:p w14:paraId="74C72AAF" w14:textId="3ACCCEF6" w:rsidR="00607BFE" w:rsidRPr="00607BFE" w:rsidRDefault="003766E9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b/>
          <w:bCs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 xml:space="preserve">Badanie </w:t>
      </w:r>
      <w:r w:rsidRPr="003766E9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>kału</w:t>
      </w:r>
      <w:r w:rsidRPr="003766E9">
        <w:rPr>
          <w:rFonts w:ascii="Lato" w:eastAsia="Arial Unicode MS" w:hAnsi="Lato" w:cs="Tahoma"/>
          <w:b/>
          <w:bCs/>
          <w:kern w:val="3"/>
          <w:sz w:val="24"/>
          <w:szCs w:val="24"/>
          <w:lang w:eastAsia="pl-PL"/>
          <w14:ligatures w14:val="none"/>
        </w:rPr>
        <w:t xml:space="preserve"> </w:t>
      </w:r>
      <w:r w:rsidRPr="003766E9">
        <w:rPr>
          <w:rFonts w:ascii="Lato" w:eastAsia="Arial Unicode MS" w:hAnsi="Lato" w:cs="Tahoma"/>
          <w:b/>
          <w:bCs/>
          <w:color w:val="595959" w:themeColor="text1" w:themeTint="A6"/>
          <w:kern w:val="3"/>
          <w:sz w:val="24"/>
          <w:szCs w:val="24"/>
          <w:lang w:eastAsia="pl-PL"/>
          <w14:ligatures w14:val="none"/>
        </w:rPr>
        <w:t>- BADANIE NA</w:t>
      </w:r>
      <w:r w:rsidR="00607BFE" w:rsidRPr="00607BFE">
        <w:rPr>
          <w:rFonts w:ascii="Lato" w:eastAsia="Arial Unicode MS" w:hAnsi="Lato" w:cs="Tahoma"/>
          <w:b/>
          <w:bCs/>
          <w:color w:val="595959" w:themeColor="text1" w:themeTint="A6"/>
          <w:kern w:val="3"/>
          <w:sz w:val="24"/>
          <w:szCs w:val="24"/>
          <w:lang w:eastAsia="pl-PL"/>
          <w14:ligatures w14:val="none"/>
        </w:rPr>
        <w:t xml:space="preserve"> </w:t>
      </w:r>
      <w:r w:rsidRPr="003766E9">
        <w:rPr>
          <w:rFonts w:ascii="Lato" w:eastAsia="Arial Unicode MS" w:hAnsi="Lato" w:cs="Tahoma"/>
          <w:b/>
          <w:bCs/>
          <w:color w:val="595959" w:themeColor="text1" w:themeTint="A6"/>
          <w:kern w:val="3"/>
          <w:sz w:val="24"/>
          <w:szCs w:val="24"/>
          <w:lang w:eastAsia="pl-PL"/>
          <w14:ligatures w14:val="none"/>
        </w:rPr>
        <w:t>WYKRYWANIE ANTYGENÓW GIARDIA LAMBLIA</w:t>
      </w:r>
    </w:p>
    <w:p w14:paraId="17BD8479" w14:textId="77777777" w:rsidR="00607BFE" w:rsidRPr="00607BFE" w:rsidRDefault="00607BFE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b/>
          <w:bCs/>
          <w:kern w:val="3"/>
          <w:sz w:val="24"/>
          <w:szCs w:val="24"/>
          <w:lang w:eastAsia="pl-PL"/>
          <w14:ligatures w14:val="none"/>
        </w:rPr>
      </w:pPr>
    </w:p>
    <w:p w14:paraId="5C8FC409" w14:textId="3A7B29BB" w:rsidR="00607BFE" w:rsidRPr="00607BFE" w:rsidRDefault="00607BFE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Niewielką ilość kału (1-2 g lub 1-2 ml) należy pobrać do podpisanego pojemnika jednorazowego i jak najszybciej dostarczyć do laboratorium. Można przechować w temperaturze 2-8ºC do 48 godz.</w:t>
      </w:r>
    </w:p>
    <w:p w14:paraId="12608250" w14:textId="77777777" w:rsidR="00607BFE" w:rsidRPr="00607BFE" w:rsidRDefault="00607BFE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kern w:val="3"/>
          <w:sz w:val="24"/>
          <w:szCs w:val="24"/>
          <w:lang w:eastAsia="pl-PL"/>
          <w14:ligatures w14:val="none"/>
        </w:rPr>
      </w:pPr>
    </w:p>
    <w:p w14:paraId="4EE0CA5B" w14:textId="5E6D1FA7" w:rsidR="003766E9" w:rsidRPr="00607BFE" w:rsidRDefault="003766E9" w:rsidP="003766E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b/>
          <w:bCs/>
          <w:kern w:val="3"/>
          <w:sz w:val="24"/>
          <w:szCs w:val="24"/>
          <w:lang w:eastAsia="pl-PL"/>
          <w14:ligatures w14:val="none"/>
        </w:rPr>
      </w:pPr>
      <w:r w:rsidRPr="0067658D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 xml:space="preserve">Badanie </w:t>
      </w:r>
      <w:r w:rsidRPr="003766E9">
        <w:rPr>
          <w:rFonts w:ascii="Lato" w:eastAsia="Times New Roman" w:hAnsi="Lato" w:cs="Times New Roman"/>
          <w:b/>
          <w:bCs/>
          <w:caps/>
          <w:color w:val="4F4F4F"/>
          <w:kern w:val="0"/>
          <w:sz w:val="24"/>
          <w:szCs w:val="24"/>
          <w:lang w:eastAsia="pl-PL"/>
          <w14:ligatures w14:val="none"/>
        </w:rPr>
        <w:t>kału</w:t>
      </w:r>
      <w:r w:rsidRPr="003766E9">
        <w:rPr>
          <w:rFonts w:ascii="Lato" w:eastAsia="Arial Unicode MS" w:hAnsi="Lato" w:cs="Tahoma"/>
          <w:b/>
          <w:bCs/>
          <w:kern w:val="3"/>
          <w:sz w:val="24"/>
          <w:szCs w:val="24"/>
          <w:lang w:eastAsia="pl-PL"/>
          <w14:ligatures w14:val="none"/>
        </w:rPr>
        <w:t xml:space="preserve"> </w:t>
      </w:r>
      <w:r w:rsidRPr="003766E9">
        <w:rPr>
          <w:rFonts w:ascii="Lato" w:eastAsia="Arial Unicode MS" w:hAnsi="Lato" w:cs="Tahoma"/>
          <w:b/>
          <w:bCs/>
          <w:color w:val="595959" w:themeColor="text1" w:themeTint="A6"/>
          <w:kern w:val="3"/>
          <w:sz w:val="24"/>
          <w:szCs w:val="24"/>
          <w:lang w:eastAsia="pl-PL"/>
          <w14:ligatures w14:val="none"/>
        </w:rPr>
        <w:t>- BADANIE NA</w:t>
      </w:r>
      <w:r w:rsidRPr="00607BFE">
        <w:rPr>
          <w:rFonts w:ascii="Lato" w:eastAsia="Arial Unicode MS" w:hAnsi="Lato" w:cs="Tahoma"/>
          <w:b/>
          <w:bCs/>
          <w:color w:val="595959" w:themeColor="text1" w:themeTint="A6"/>
          <w:kern w:val="3"/>
          <w:sz w:val="24"/>
          <w:szCs w:val="24"/>
          <w:lang w:eastAsia="pl-PL"/>
          <w14:ligatures w14:val="none"/>
        </w:rPr>
        <w:t xml:space="preserve"> </w:t>
      </w:r>
      <w:r w:rsidRPr="003766E9">
        <w:rPr>
          <w:rFonts w:ascii="Lato" w:eastAsia="Arial Unicode MS" w:hAnsi="Lato" w:cs="Tahoma"/>
          <w:b/>
          <w:bCs/>
          <w:color w:val="595959" w:themeColor="text1" w:themeTint="A6"/>
          <w:kern w:val="3"/>
          <w:sz w:val="24"/>
          <w:szCs w:val="24"/>
          <w:lang w:eastAsia="pl-PL"/>
          <w14:ligatures w14:val="none"/>
        </w:rPr>
        <w:t xml:space="preserve">WYKRYWANIE ANTYGENÓW </w:t>
      </w:r>
      <w:r>
        <w:rPr>
          <w:rFonts w:ascii="Lato" w:eastAsia="Arial Unicode MS" w:hAnsi="Lato" w:cs="Tahoma"/>
          <w:b/>
          <w:bCs/>
          <w:color w:val="595959" w:themeColor="text1" w:themeTint="A6"/>
          <w:kern w:val="3"/>
          <w:sz w:val="24"/>
          <w:szCs w:val="24"/>
          <w:lang w:eastAsia="pl-PL"/>
          <w14:ligatures w14:val="none"/>
        </w:rPr>
        <w:t>HELICOBACTER PYLORI</w:t>
      </w:r>
    </w:p>
    <w:p w14:paraId="350F3929" w14:textId="77777777" w:rsidR="003766E9" w:rsidRDefault="00607BFE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b/>
          <w:bCs/>
          <w:kern w:val="3"/>
          <w:sz w:val="24"/>
          <w:szCs w:val="24"/>
          <w:lang w:eastAsia="pl-PL"/>
          <w14:ligatures w14:val="none"/>
        </w:rPr>
      </w:pPr>
      <w:r w:rsidRPr="00607BFE">
        <w:rPr>
          <w:rFonts w:ascii="Times New Roman" w:eastAsia="Arial Unicode MS" w:hAnsi="Times New Roman" w:cs="Tahoma"/>
          <w:b/>
          <w:bCs/>
          <w:kern w:val="3"/>
          <w:sz w:val="24"/>
          <w:szCs w:val="24"/>
          <w:lang w:eastAsia="pl-PL"/>
          <w14:ligatures w14:val="none"/>
        </w:rPr>
        <w:t xml:space="preserve"> </w:t>
      </w:r>
    </w:p>
    <w:p w14:paraId="7BE6D8BF" w14:textId="2410A653" w:rsidR="00607BFE" w:rsidRPr="00607BFE" w:rsidRDefault="00607BFE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b/>
          <w:bCs/>
          <w:kern w:val="3"/>
          <w:sz w:val="24"/>
          <w:szCs w:val="24"/>
          <w:lang w:eastAsia="pl-PL"/>
          <w14:ligatures w14:val="none"/>
        </w:rPr>
      </w:pP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>Niewielką ilość kału (1-2 g lub 1-2 ml) należy pobrać do podpisanego pojemnika jednorazowego i jak najszybciej dostarczyć do laboratorium. Można przechować w temperaturze 2-8ºC do 48 godzin. Nie zaleca się wykonywania badań w kale biegunkowym.</w:t>
      </w:r>
    </w:p>
    <w:p w14:paraId="62162380" w14:textId="77777777" w:rsidR="00607BFE" w:rsidRPr="00607BFE" w:rsidRDefault="00607BFE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kern w:val="3"/>
          <w:sz w:val="24"/>
          <w:szCs w:val="24"/>
          <w:lang w:eastAsia="pl-PL"/>
          <w14:ligatures w14:val="none"/>
        </w:rPr>
      </w:pPr>
    </w:p>
    <w:p w14:paraId="065CD91E" w14:textId="0C94BD1F" w:rsidR="00607BFE" w:rsidRPr="00607BFE" w:rsidRDefault="003766E9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b/>
          <w:bCs/>
          <w:color w:val="595959" w:themeColor="text1" w:themeTint="A6"/>
          <w:kern w:val="3"/>
          <w:sz w:val="24"/>
          <w:szCs w:val="24"/>
          <w:lang w:eastAsia="pl-PL"/>
          <w14:ligatures w14:val="none"/>
        </w:rPr>
      </w:pPr>
      <w:r w:rsidRPr="003766E9">
        <w:rPr>
          <w:rFonts w:ascii="Lato" w:eastAsia="Arial Unicode MS" w:hAnsi="Lato" w:cs="Tahoma"/>
          <w:b/>
          <w:bCs/>
          <w:color w:val="595959" w:themeColor="text1" w:themeTint="A6"/>
          <w:kern w:val="3"/>
          <w:sz w:val="24"/>
          <w:szCs w:val="24"/>
          <w:lang w:eastAsia="pl-PL"/>
          <w14:ligatures w14:val="none"/>
        </w:rPr>
        <w:lastRenderedPageBreak/>
        <w:t>BADANIE NA OWSIKI</w:t>
      </w:r>
    </w:p>
    <w:p w14:paraId="330211CA" w14:textId="77777777" w:rsidR="00607BFE" w:rsidRPr="00607BFE" w:rsidRDefault="00607BFE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b/>
          <w:bCs/>
          <w:kern w:val="3"/>
          <w:sz w:val="24"/>
          <w:szCs w:val="24"/>
          <w:lang w:eastAsia="pl-PL"/>
          <w14:ligatures w14:val="none"/>
        </w:rPr>
      </w:pPr>
    </w:p>
    <w:p w14:paraId="71714D91" w14:textId="6DBA2438" w:rsidR="00607BFE" w:rsidRPr="00607BFE" w:rsidRDefault="00607BFE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Materiał pobiera się ze skóry otaczającej odbyt w tym celu rano </w:t>
      </w:r>
      <w:r w:rsidRPr="00607BFE">
        <w:rPr>
          <w:rFonts w:ascii="Lato" w:eastAsia="Arial Unicode MS" w:hAnsi="Lato" w:cs="Tahoma"/>
          <w:i/>
          <w:iCs/>
          <w:kern w:val="3"/>
          <w:sz w:val="24"/>
          <w:szCs w:val="24"/>
          <w:u w:val="single"/>
          <w:lang w:eastAsia="pl-PL"/>
          <w14:ligatures w14:val="none"/>
        </w:rPr>
        <w:t>nie wykonując porannej toalety!</w:t>
      </w:r>
      <w:r w:rsidRPr="00607BFE"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  <w:t xml:space="preserve"> Należy przykleić przeźroczystą taśmę klejącą do okolicy odbytu, a następnie nakleić ją na szkiełko podstawowe mikroskopowe.</w:t>
      </w:r>
    </w:p>
    <w:p w14:paraId="22B9B60E" w14:textId="77777777" w:rsidR="00607BFE" w:rsidRDefault="00607BFE" w:rsidP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kern w:val="3"/>
          <w:sz w:val="24"/>
          <w:szCs w:val="24"/>
          <w:lang w:eastAsia="pl-PL"/>
          <w14:ligatures w14:val="none"/>
        </w:rPr>
      </w:pPr>
    </w:p>
    <w:p w14:paraId="583532B1" w14:textId="77777777" w:rsidR="003766E9" w:rsidRPr="003766E9" w:rsidRDefault="003766E9" w:rsidP="003766E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kern w:val="3"/>
          <w:sz w:val="24"/>
          <w:szCs w:val="24"/>
          <w:lang w:eastAsia="pl-PL"/>
          <w14:ligatures w14:val="none"/>
        </w:rPr>
      </w:pPr>
    </w:p>
    <w:p w14:paraId="0BE6A052" w14:textId="77777777" w:rsidR="003766E9" w:rsidRPr="003766E9" w:rsidRDefault="003766E9" w:rsidP="003766E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ahoma"/>
          <w:kern w:val="3"/>
          <w:sz w:val="24"/>
          <w:szCs w:val="24"/>
          <w:lang w:eastAsia="pl-PL"/>
          <w14:ligatures w14:val="none"/>
        </w:rPr>
      </w:pPr>
    </w:p>
    <w:p w14:paraId="02DC7016" w14:textId="77777777" w:rsidR="00607BFE" w:rsidRPr="009D179F" w:rsidRDefault="00607BF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Lato" w:eastAsia="Arial Unicode MS" w:hAnsi="Lato" w:cs="Tahoma"/>
          <w:kern w:val="3"/>
          <w:sz w:val="24"/>
          <w:szCs w:val="24"/>
          <w:lang w:eastAsia="pl-PL"/>
          <w14:ligatures w14:val="none"/>
        </w:rPr>
      </w:pPr>
    </w:p>
    <w:sectPr w:rsidR="00607BFE" w:rsidRPr="009D179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A1ADB" w14:textId="77777777" w:rsidR="00824CB9" w:rsidRDefault="00824CB9" w:rsidP="00E23CE3">
      <w:pPr>
        <w:spacing w:after="0" w:line="240" w:lineRule="auto"/>
      </w:pPr>
      <w:r>
        <w:separator/>
      </w:r>
    </w:p>
  </w:endnote>
  <w:endnote w:type="continuationSeparator" w:id="0">
    <w:p w14:paraId="32907712" w14:textId="77777777" w:rsidR="00824CB9" w:rsidRDefault="00824CB9" w:rsidP="00E23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F6189" w14:textId="71404E90" w:rsidR="00E12655" w:rsidRDefault="00E12655">
    <w:pPr>
      <w:pStyle w:val="Stopka"/>
    </w:pPr>
    <w:r>
      <w:t xml:space="preserve">Aktualizacja: 01.12.2024 r. </w:t>
    </w:r>
    <w:r>
      <w:tab/>
    </w:r>
    <w:r>
      <w:tab/>
      <w:t>Przygotował: dr n. med. Piotr Sienkiewicz</w:t>
    </w:r>
  </w:p>
  <w:p w14:paraId="49E5EA78" w14:textId="77777777" w:rsidR="00E12655" w:rsidRDefault="00E126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15C0A" w14:textId="77777777" w:rsidR="00824CB9" w:rsidRDefault="00824CB9" w:rsidP="00E23CE3">
      <w:pPr>
        <w:spacing w:after="0" w:line="240" w:lineRule="auto"/>
      </w:pPr>
      <w:r>
        <w:separator/>
      </w:r>
    </w:p>
  </w:footnote>
  <w:footnote w:type="continuationSeparator" w:id="0">
    <w:p w14:paraId="0565C5DF" w14:textId="77777777" w:rsidR="00824CB9" w:rsidRDefault="00824CB9" w:rsidP="00E23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D7CBB" w14:textId="77777777" w:rsidR="00E23CE3" w:rsidRPr="00E23CE3" w:rsidRDefault="00E23CE3" w:rsidP="00E23CE3">
    <w:pPr>
      <w:tabs>
        <w:tab w:val="left" w:pos="2880"/>
        <w:tab w:val="center" w:pos="4536"/>
      </w:tabs>
      <w:suppressAutoHyphens/>
      <w:spacing w:after="0" w:line="240" w:lineRule="auto"/>
      <w:rPr>
        <w:rFonts w:ascii="Carlito" w:eastAsia="Calibri" w:hAnsi="Carlito" w:cs="Carlito"/>
        <w:b/>
        <w:kern w:val="0"/>
        <w:lang w:eastAsia="pl-PL"/>
        <w14:ligatures w14:val="none"/>
      </w:rPr>
    </w:pPr>
    <w:r w:rsidRPr="00E23CE3">
      <w:rPr>
        <w:rFonts w:ascii="Calibri" w:eastAsia="Calibri" w:hAnsi="Calibri" w:cs="Calibri"/>
        <w:noProof/>
        <w:kern w:val="0"/>
        <w:lang w:eastAsia="pl-PL"/>
        <w14:ligatures w14:val="none"/>
      </w:rPr>
      <w:drawing>
        <wp:anchor distT="0" distB="0" distL="0" distR="0" simplePos="0" relativeHeight="251659264" behindDoc="1" locked="0" layoutInCell="0" allowOverlap="1" wp14:anchorId="129134EC" wp14:editId="67A7FBCD">
          <wp:simplePos x="0" y="0"/>
          <wp:positionH relativeFrom="column">
            <wp:posOffset>-42545</wp:posOffset>
          </wp:positionH>
          <wp:positionV relativeFrom="paragraph">
            <wp:posOffset>-97155</wp:posOffset>
          </wp:positionV>
          <wp:extent cx="851535" cy="866775"/>
          <wp:effectExtent l="0" t="0" r="0" b="0"/>
          <wp:wrapNone/>
          <wp:docPr id="1" name="Obraz 3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 descr="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1535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23CE3">
      <w:rPr>
        <w:rFonts w:ascii="Calibri" w:eastAsia="Calibri" w:hAnsi="Calibri" w:cs="Calibri"/>
        <w:kern w:val="0"/>
        <w:lang w:eastAsia="pl-PL"/>
        <w14:ligatures w14:val="none"/>
      </w:rPr>
      <w:tab/>
    </w:r>
    <w:r w:rsidRPr="00E23CE3">
      <w:rPr>
        <w:rFonts w:ascii="Carlito" w:eastAsia="Calibri" w:hAnsi="Carlito" w:cs="Carlito"/>
        <w:b/>
        <w:kern w:val="0"/>
        <w:lang w:eastAsia="pl-PL"/>
        <w14:ligatures w14:val="none"/>
      </w:rPr>
      <w:t>Samodzielny Publiczny Zakład Opieki Zdrowotnej w Hajnówce</w:t>
    </w:r>
  </w:p>
  <w:p w14:paraId="7636EB3F" w14:textId="77777777" w:rsidR="00E23CE3" w:rsidRPr="00E23CE3" w:rsidRDefault="00E23CE3" w:rsidP="00E23CE3">
    <w:pPr>
      <w:tabs>
        <w:tab w:val="left" w:pos="2880"/>
      </w:tabs>
      <w:suppressAutoHyphens/>
      <w:spacing w:after="0" w:line="240" w:lineRule="auto"/>
      <w:rPr>
        <w:rFonts w:ascii="Carlito" w:eastAsia="Calibri" w:hAnsi="Carlito" w:cs="Carlito"/>
        <w:b/>
        <w:kern w:val="0"/>
        <w:lang w:eastAsia="pl-PL"/>
        <w14:ligatures w14:val="none"/>
      </w:rPr>
    </w:pPr>
    <w:r w:rsidRPr="00E23CE3">
      <w:rPr>
        <w:rFonts w:ascii="Carlito" w:eastAsia="Calibri" w:hAnsi="Carlito" w:cs="Carlito"/>
        <w:b/>
        <w:kern w:val="0"/>
        <w:lang w:eastAsia="pl-PL"/>
        <w14:ligatures w14:val="none"/>
      </w:rPr>
      <w:tab/>
    </w:r>
    <w:r w:rsidRPr="00E23CE3">
      <w:rPr>
        <w:rFonts w:ascii="Carlito" w:eastAsia="Calibri" w:hAnsi="Carlito" w:cs="Carlito"/>
        <w:b/>
        <w:kern w:val="0"/>
        <w:lang w:eastAsia="pl-PL"/>
        <w14:ligatures w14:val="none"/>
      </w:rPr>
      <w:tab/>
      <w:t xml:space="preserve">17- 200 Hajnówka,  ul. Doc. A. </w:t>
    </w:r>
    <w:proofErr w:type="spellStart"/>
    <w:r w:rsidRPr="00E23CE3">
      <w:rPr>
        <w:rFonts w:ascii="Carlito" w:eastAsia="Calibri" w:hAnsi="Carlito" w:cs="Carlito"/>
        <w:b/>
        <w:kern w:val="0"/>
        <w:lang w:eastAsia="pl-PL"/>
        <w14:ligatures w14:val="none"/>
      </w:rPr>
      <w:t>Dowgirda</w:t>
    </w:r>
    <w:proofErr w:type="spellEnd"/>
    <w:r w:rsidRPr="00E23CE3">
      <w:rPr>
        <w:rFonts w:ascii="Carlito" w:eastAsia="Calibri" w:hAnsi="Carlito" w:cs="Carlito"/>
        <w:b/>
        <w:kern w:val="0"/>
        <w:lang w:eastAsia="pl-PL"/>
        <w14:ligatures w14:val="none"/>
      </w:rPr>
      <w:t xml:space="preserve"> 9</w:t>
    </w:r>
  </w:p>
  <w:p w14:paraId="33EBBD82" w14:textId="77777777" w:rsidR="00E23CE3" w:rsidRPr="00E23CE3" w:rsidRDefault="00E23CE3" w:rsidP="00E23CE3">
    <w:pPr>
      <w:tabs>
        <w:tab w:val="left" w:pos="3119"/>
      </w:tabs>
      <w:suppressAutoHyphens/>
      <w:spacing w:after="0" w:line="240" w:lineRule="auto"/>
      <w:rPr>
        <w:rFonts w:ascii="Carlito" w:eastAsia="Calibri" w:hAnsi="Carlito" w:cs="Carlito"/>
        <w:b/>
        <w:kern w:val="0"/>
        <w:lang w:eastAsia="pl-PL"/>
        <w14:ligatures w14:val="none"/>
      </w:rPr>
    </w:pPr>
    <w:r w:rsidRPr="00E23CE3">
      <w:rPr>
        <w:rFonts w:ascii="Carlito" w:eastAsia="Calibri" w:hAnsi="Carlito" w:cs="Carlito"/>
        <w:b/>
        <w:kern w:val="0"/>
        <w:lang w:eastAsia="pl-PL"/>
        <w14:ligatures w14:val="none"/>
      </w:rPr>
      <w:tab/>
      <w:t xml:space="preserve">    </w:t>
    </w:r>
    <w:r w:rsidRPr="00E23CE3">
      <w:rPr>
        <w:rFonts w:ascii="Carlito" w:eastAsia="Calibri" w:hAnsi="Carlito" w:cs="Carlito"/>
        <w:b/>
        <w:kern w:val="0"/>
        <w:lang w:eastAsia="pl-PL"/>
        <w14:ligatures w14:val="none"/>
      </w:rPr>
      <w:tab/>
      <w:t xml:space="preserve">  tel.:  85</w:t>
    </w:r>
    <w:r w:rsidRPr="00E23CE3">
      <w:rPr>
        <w:rFonts w:ascii="Calibri" w:eastAsia="Calibri" w:hAnsi="Calibri" w:cs="Carlito"/>
        <w:b/>
        <w:kern w:val="0"/>
        <w:lang w:eastAsia="pl-PL"/>
        <w14:ligatures w14:val="none"/>
      </w:rPr>
      <w:t> </w:t>
    </w:r>
    <w:r w:rsidRPr="00E23CE3">
      <w:rPr>
        <w:rFonts w:ascii="Carlito" w:eastAsia="Calibri" w:hAnsi="Carlito" w:cs="Carlito"/>
        <w:b/>
        <w:kern w:val="0"/>
        <w:lang w:eastAsia="pl-PL"/>
        <w14:ligatures w14:val="none"/>
      </w:rPr>
      <w:t>682 92 02     fax:  85</w:t>
    </w:r>
    <w:r w:rsidRPr="00E23CE3">
      <w:rPr>
        <w:rFonts w:ascii="Calibri" w:eastAsia="Calibri" w:hAnsi="Calibri" w:cs="Carlito"/>
        <w:b/>
        <w:kern w:val="0"/>
        <w:lang w:eastAsia="pl-PL"/>
        <w14:ligatures w14:val="none"/>
      </w:rPr>
      <w:t> </w:t>
    </w:r>
    <w:r w:rsidRPr="00E23CE3">
      <w:rPr>
        <w:rFonts w:ascii="Carlito" w:eastAsia="Calibri" w:hAnsi="Carlito" w:cs="Carlito"/>
        <w:b/>
        <w:kern w:val="0"/>
        <w:lang w:eastAsia="pl-PL"/>
        <w14:ligatures w14:val="none"/>
      </w:rPr>
      <w:t>682 92 95</w:t>
    </w:r>
  </w:p>
  <w:p w14:paraId="75D1F42C" w14:textId="77777777" w:rsidR="00E23CE3" w:rsidRPr="00E23CE3" w:rsidRDefault="00E23CE3" w:rsidP="00E23CE3">
    <w:pPr>
      <w:tabs>
        <w:tab w:val="left" w:pos="3119"/>
      </w:tabs>
      <w:suppressAutoHyphens/>
      <w:spacing w:after="0" w:line="240" w:lineRule="auto"/>
      <w:rPr>
        <w:rFonts w:ascii="Carlito" w:eastAsia="Calibri" w:hAnsi="Carlito" w:cs="Carlito"/>
        <w:b/>
        <w:kern w:val="0"/>
        <w:lang w:eastAsia="pl-PL"/>
        <w14:ligatures w14:val="none"/>
      </w:rPr>
    </w:pPr>
    <w:r w:rsidRPr="00E23CE3">
      <w:rPr>
        <w:rFonts w:ascii="Calibri" w:eastAsia="Calibri" w:hAnsi="Calibri" w:cs="Calibri"/>
        <w:noProof/>
        <w:kern w:val="0"/>
        <w:lang w:eastAsia="pl-PL"/>
        <w14:ligatures w14:val="none"/>
      </w:rPr>
      <mc:AlternateContent>
        <mc:Choice Requires="wps">
          <w:drawing>
            <wp:anchor distT="0" distB="0" distL="0" distR="0" simplePos="0" relativeHeight="251660288" behindDoc="1" locked="0" layoutInCell="0" allowOverlap="1" wp14:anchorId="3273DEE9" wp14:editId="223B58A7">
              <wp:simplePos x="0" y="0"/>
              <wp:positionH relativeFrom="column">
                <wp:posOffset>-404495</wp:posOffset>
              </wp:positionH>
              <wp:positionV relativeFrom="paragraph">
                <wp:posOffset>305435</wp:posOffset>
              </wp:positionV>
              <wp:extent cx="6553835" cy="1270"/>
              <wp:effectExtent l="14605" t="10160" r="13970" b="17780"/>
              <wp:wrapNone/>
              <wp:docPr id="2" name="Auto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53080" cy="7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19050">
                        <a:solidFill>
                          <a:srgbClr val="4F81BD">
                            <a:lumMod val="75000"/>
                            <a:lumOff val="0"/>
                          </a:srgb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6BD52833" id="AutoShape 1" o:spid="_x0000_s1026" style="position:absolute;margin-left:-31.85pt;margin-top:24.05pt;width:516.05pt;height:.1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" o:allowincell="f" path="m,l21600,21600e" filled="f" strokecolor="#376092" strokeweight="1.5pt">
              <v:path arrowok="t"/>
            </v:shape>
          </w:pict>
        </mc:Fallback>
      </mc:AlternateContent>
    </w:r>
    <w:r w:rsidRPr="00E23CE3">
      <w:rPr>
        <w:rFonts w:ascii="Carlito" w:eastAsia="Calibri" w:hAnsi="Carlito" w:cs="Carlito"/>
        <w:b/>
        <w:kern w:val="0"/>
        <w:lang w:eastAsia="pl-PL"/>
        <w14:ligatures w14:val="none"/>
      </w:rPr>
      <w:tab/>
      <w:t xml:space="preserve">e-mail: </w:t>
    </w:r>
    <w:hyperlink r:id="rId2">
      <w:r w:rsidRPr="00E23CE3">
        <w:rPr>
          <w:rFonts w:ascii="Carlito" w:eastAsia="Calibri" w:hAnsi="Carlito" w:cs="Carlito"/>
          <w:b/>
          <w:color w:val="0000FF"/>
          <w:kern w:val="0"/>
          <w:u w:val="single"/>
          <w:lang w:eastAsia="pl-PL"/>
          <w14:ligatures w14:val="none"/>
        </w:rPr>
        <w:t>szpital@spzozhajnowka.pl</w:t>
      </w:r>
    </w:hyperlink>
    <w:r w:rsidRPr="00E23CE3">
      <w:rPr>
        <w:rFonts w:ascii="Carlito" w:eastAsia="Calibri" w:hAnsi="Carlito" w:cs="Carlito"/>
        <w:b/>
        <w:kern w:val="0"/>
        <w:lang w:eastAsia="pl-PL"/>
        <w14:ligatures w14:val="none"/>
      </w:rPr>
      <w:t>,  www.spzozhajnowka.pl</w:t>
    </w:r>
  </w:p>
  <w:p w14:paraId="3B8F1F36" w14:textId="166A173F" w:rsidR="00E23CE3" w:rsidRDefault="00E23CE3">
    <w:pPr>
      <w:pStyle w:val="Nagwek"/>
    </w:pPr>
  </w:p>
  <w:p w14:paraId="3E9DB18A" w14:textId="77777777" w:rsidR="00E23CE3" w:rsidRDefault="00E23C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F7FE3"/>
    <w:multiLevelType w:val="multilevel"/>
    <w:tmpl w:val="01B0075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1" w15:restartNumberingAfterBreak="0">
    <w:nsid w:val="5347108D"/>
    <w:multiLevelType w:val="multilevel"/>
    <w:tmpl w:val="243ED172"/>
    <w:lvl w:ilvl="0">
      <w:numFmt w:val="bullet"/>
      <w:lvlText w:val="●"/>
      <w:lvlJc w:val="left"/>
      <w:pPr>
        <w:ind w:left="720" w:hanging="360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●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●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●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●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●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●"/>
      <w:lvlJc w:val="left"/>
      <w:pPr>
        <w:ind w:left="360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2" w15:restartNumberingAfterBreak="0">
    <w:nsid w:val="57BE4D42"/>
    <w:multiLevelType w:val="multilevel"/>
    <w:tmpl w:val="D5E8B0A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3" w15:restartNumberingAfterBreak="0">
    <w:nsid w:val="649733F3"/>
    <w:multiLevelType w:val="multilevel"/>
    <w:tmpl w:val="80ACD07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4" w15:restartNumberingAfterBreak="0">
    <w:nsid w:val="6C6A6B60"/>
    <w:multiLevelType w:val="multilevel"/>
    <w:tmpl w:val="2836FEB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5" w15:restartNumberingAfterBreak="0">
    <w:nsid w:val="6CC17D50"/>
    <w:multiLevelType w:val="multilevel"/>
    <w:tmpl w:val="955EA82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6" w15:restartNumberingAfterBreak="0">
    <w:nsid w:val="74E42927"/>
    <w:multiLevelType w:val="multilevel"/>
    <w:tmpl w:val="20107B1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7" w15:restartNumberingAfterBreak="0">
    <w:nsid w:val="79730A0D"/>
    <w:multiLevelType w:val="hybridMultilevel"/>
    <w:tmpl w:val="A3B282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98332D"/>
    <w:multiLevelType w:val="multilevel"/>
    <w:tmpl w:val="BB38E69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eastAsia="StarSymbol" w:hAnsi="StarSymbol" w:cs="StarSymbol"/>
        <w:sz w:val="18"/>
        <w:szCs w:val="18"/>
      </w:rPr>
    </w:lvl>
  </w:abstractNum>
  <w:num w:numId="1" w16cid:durableId="1635404678">
    <w:abstractNumId w:val="1"/>
  </w:num>
  <w:num w:numId="2" w16cid:durableId="1338536912">
    <w:abstractNumId w:val="6"/>
  </w:num>
  <w:num w:numId="3" w16cid:durableId="341519689">
    <w:abstractNumId w:val="7"/>
  </w:num>
  <w:num w:numId="4" w16cid:durableId="908224576">
    <w:abstractNumId w:val="2"/>
  </w:num>
  <w:num w:numId="5" w16cid:durableId="225528033">
    <w:abstractNumId w:val="3"/>
  </w:num>
  <w:num w:numId="6" w16cid:durableId="1363826934">
    <w:abstractNumId w:val="8"/>
  </w:num>
  <w:num w:numId="7" w16cid:durableId="1300308768">
    <w:abstractNumId w:val="6"/>
  </w:num>
  <w:num w:numId="8" w16cid:durableId="635599323">
    <w:abstractNumId w:val="4"/>
  </w:num>
  <w:num w:numId="9" w16cid:durableId="290988750">
    <w:abstractNumId w:val="5"/>
  </w:num>
  <w:num w:numId="10" w16cid:durableId="747074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CE3"/>
    <w:rsid w:val="00063343"/>
    <w:rsid w:val="003766E9"/>
    <w:rsid w:val="0038394E"/>
    <w:rsid w:val="003D0F18"/>
    <w:rsid w:val="00607BFE"/>
    <w:rsid w:val="0067658D"/>
    <w:rsid w:val="00824CB9"/>
    <w:rsid w:val="009D179F"/>
    <w:rsid w:val="00AD6F49"/>
    <w:rsid w:val="00B54844"/>
    <w:rsid w:val="00E12655"/>
    <w:rsid w:val="00E23CE3"/>
    <w:rsid w:val="00E70793"/>
    <w:rsid w:val="00FB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E6A16"/>
  <w15:chartTrackingRefBased/>
  <w15:docId w15:val="{4E2C2419-FEB9-448A-9CED-69F28C610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3C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65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23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2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3CE3"/>
  </w:style>
  <w:style w:type="paragraph" w:styleId="Stopka">
    <w:name w:val="footer"/>
    <w:basedOn w:val="Normalny"/>
    <w:link w:val="StopkaZnak"/>
    <w:uiPriority w:val="99"/>
    <w:unhideWhenUsed/>
    <w:rsid w:val="00E2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CE3"/>
  </w:style>
  <w:style w:type="character" w:styleId="Pogrubienie">
    <w:name w:val="Strong"/>
    <w:basedOn w:val="Domylnaczcionkaakapitu"/>
    <w:uiPriority w:val="22"/>
    <w:qFormat/>
    <w:rsid w:val="00E23CE3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E23C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E12655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658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zodstpw">
    <w:name w:val="No Spacing"/>
    <w:uiPriority w:val="1"/>
    <w:qFormat/>
    <w:rsid w:val="00607B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zpital@spzozhajnowk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956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Statystyka SPzoz</dc:creator>
  <cp:keywords/>
  <dc:description/>
  <cp:lastModifiedBy>Statystyka SPzoz</cp:lastModifiedBy>
  <cp:revision>1</cp:revision>
  <dcterms:created xsi:type="dcterms:W3CDTF">2025-01-01T13:36:00Z</dcterms:created>
  <dcterms:modified xsi:type="dcterms:W3CDTF">2025-01-01T14:41:00Z</dcterms:modified>
</cp:coreProperties>
</file>